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F6B" w14:textId="2B470FB8" w:rsidR="00F71F27" w:rsidRDefault="00F71F27"/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424"/>
      </w:tblGrid>
      <w:tr w:rsidR="00F71F27" w14:paraId="090E3695" w14:textId="77777777" w:rsidTr="00F71F27">
        <w:trPr>
          <w:trHeight w:val="2513"/>
        </w:trPr>
        <w:tc>
          <w:tcPr>
            <w:tcW w:w="3093" w:type="dxa"/>
          </w:tcPr>
          <w:p w14:paraId="2E1D734A" w14:textId="38A2641B" w:rsidR="00F71F27" w:rsidRDefault="00601732" w:rsidP="00A056A3">
            <w:pPr>
              <w:jc w:val="both"/>
              <w:rPr>
                <w:b/>
                <w:bCs/>
                <w:sz w:val="24"/>
                <w:szCs w:val="24"/>
              </w:rPr>
            </w:pPr>
            <w:r w:rsidRPr="00601732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E73334" wp14:editId="7ED45AD0">
                  <wp:extent cx="1757866" cy="1729740"/>
                  <wp:effectExtent l="0" t="0" r="0" b="3810"/>
                  <wp:docPr id="16" name="Picture 16" descr="1 to 1 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to 1 me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67" cy="173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14:paraId="3ADCB3D4" w14:textId="77777777" w:rsidR="00F71F27" w:rsidRDefault="00F71F27" w:rsidP="00A056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2AEB2F" w14:textId="77777777" w:rsidR="006A1826" w:rsidRPr="006A1826" w:rsidRDefault="006A1826" w:rsidP="006A1826">
            <w:pPr>
              <w:jc w:val="center"/>
              <w:rPr>
                <w:rFonts w:ascii="Century Gothic" w:hAnsi="Century Gothic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6A1826">
              <w:rPr>
                <w:rFonts w:ascii="Century Gothic" w:hAnsi="Century Gothic"/>
                <w:b/>
                <w:bCs/>
                <w:color w:val="2E74B5" w:themeColor="accent5" w:themeShade="BF"/>
                <w:sz w:val="28"/>
                <w:szCs w:val="28"/>
              </w:rPr>
              <w:t>Principles for Mending the Gaps in Annual Health Checks for people with learning disabilities in Somerset</w:t>
            </w:r>
          </w:p>
          <w:p w14:paraId="3FEB8C9B" w14:textId="77777777" w:rsidR="00F71F27" w:rsidRPr="00F53075" w:rsidRDefault="00F71F27" w:rsidP="00A056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A7DDFD0" w14:textId="4695A0C2" w:rsidR="00F71F27" w:rsidRPr="00123DF6" w:rsidRDefault="00F71F27" w:rsidP="00A056A3">
            <w:pPr>
              <w:rPr>
                <w:rFonts w:ascii="Century Gothic" w:hAnsi="Century Gothic"/>
                <w:sz w:val="38"/>
                <w:szCs w:val="38"/>
              </w:rPr>
            </w:pPr>
            <w:r w:rsidRPr="00123DF6">
              <w:rPr>
                <w:rFonts w:ascii="Century Gothic" w:hAnsi="Century Gothic" w:cs="Arial"/>
                <w:b/>
                <w:bCs/>
                <w:sz w:val="28"/>
                <w:szCs w:val="28"/>
              </w:rPr>
              <w:t>These principles or ideas</w:t>
            </w: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,</w:t>
            </w:r>
            <w:r w:rsidRPr="00123DF6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Arial"/>
                <w:sz w:val="28"/>
                <w:szCs w:val="28"/>
              </w:rPr>
              <w:t>are for</w:t>
            </w:r>
            <w:r w:rsidRPr="00123DF6">
              <w:rPr>
                <w:rFonts w:ascii="Century Gothic" w:hAnsi="Century Gothic" w:cs="Arial"/>
                <w:sz w:val="28"/>
                <w:szCs w:val="28"/>
              </w:rPr>
              <w:t xml:space="preserve"> people with learning disabilities and those supporting them with having </w:t>
            </w:r>
            <w:r>
              <w:rPr>
                <w:rFonts w:ascii="Century Gothic" w:hAnsi="Century Gothic" w:cs="Arial"/>
                <w:sz w:val="28"/>
                <w:szCs w:val="28"/>
              </w:rPr>
              <w:t>A</w:t>
            </w:r>
            <w:r w:rsidRPr="00123DF6">
              <w:rPr>
                <w:rFonts w:ascii="Century Gothic" w:hAnsi="Century Gothic" w:cs="Arial"/>
                <w:sz w:val="28"/>
                <w:szCs w:val="28"/>
              </w:rPr>
              <w:t xml:space="preserve">nnual </w:t>
            </w:r>
            <w:r>
              <w:rPr>
                <w:rFonts w:ascii="Century Gothic" w:hAnsi="Century Gothic" w:cs="Arial"/>
                <w:sz w:val="28"/>
                <w:szCs w:val="28"/>
              </w:rPr>
              <w:t>H</w:t>
            </w:r>
            <w:r w:rsidRPr="00123DF6">
              <w:rPr>
                <w:rFonts w:ascii="Century Gothic" w:hAnsi="Century Gothic" w:cs="Arial"/>
                <w:sz w:val="28"/>
                <w:szCs w:val="28"/>
              </w:rPr>
              <w:t xml:space="preserve">ealth </w:t>
            </w:r>
            <w:r>
              <w:rPr>
                <w:rFonts w:ascii="Century Gothic" w:hAnsi="Century Gothic" w:cs="Arial"/>
                <w:sz w:val="28"/>
                <w:szCs w:val="28"/>
              </w:rPr>
              <w:t>C</w:t>
            </w:r>
            <w:r w:rsidRPr="00123DF6">
              <w:rPr>
                <w:rFonts w:ascii="Century Gothic" w:hAnsi="Century Gothic" w:cs="Arial"/>
                <w:sz w:val="28"/>
                <w:szCs w:val="28"/>
              </w:rPr>
              <w:t>hecks</w:t>
            </w:r>
          </w:p>
          <w:p w14:paraId="5A000FAB" w14:textId="5165CB95" w:rsidR="00F71F27" w:rsidRDefault="00F71F27" w:rsidP="00A056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65FC8B" w14:textId="77777777" w:rsidR="00F71F27" w:rsidRDefault="00F71F27" w:rsidP="00A056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6965024" w14:textId="77777777" w:rsidR="00F71F27" w:rsidRDefault="00F71F27" w:rsidP="00A056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8D4148" w14:textId="77777777" w:rsidR="00F71F27" w:rsidRPr="00F53075" w:rsidRDefault="00F71F27" w:rsidP="00A056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71F27" w14:paraId="55CE4D32" w14:textId="77777777" w:rsidTr="00F71F27">
        <w:trPr>
          <w:trHeight w:val="2413"/>
        </w:trPr>
        <w:tc>
          <w:tcPr>
            <w:tcW w:w="3093" w:type="dxa"/>
          </w:tcPr>
          <w:p w14:paraId="0150BA4A" w14:textId="613C9A5A" w:rsidR="00F71F27" w:rsidRDefault="00392439" w:rsidP="00A056A3">
            <w:pPr>
              <w:jc w:val="both"/>
              <w:rPr>
                <w:b/>
                <w:bCs/>
                <w:noProof/>
                <w:sz w:val="24"/>
                <w:szCs w:val="24"/>
                <w:lang w:val="en-US"/>
              </w:rPr>
            </w:pPr>
            <w:r w:rsidRPr="00392439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D790F96" wp14:editId="08385EC5">
                  <wp:extent cx="1744980" cy="1744980"/>
                  <wp:effectExtent l="0" t="0" r="7620" b="7620"/>
                  <wp:docPr id="1" name="Picture 1" descr="about us 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out us 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14:paraId="1107594A" w14:textId="77777777" w:rsidR="00F71F27" w:rsidRPr="0006586D" w:rsidRDefault="00F71F27" w:rsidP="00F71F27">
            <w:pPr>
              <w:pStyle w:val="ListParagraph"/>
              <w:numPr>
                <w:ilvl w:val="0"/>
                <w:numId w:val="1"/>
              </w:numPr>
              <w:ind w:left="469" w:hanging="469"/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  <w:r w:rsidRPr="0006586D">
              <w:rPr>
                <w:rFonts w:ascii="Century Gothic" w:hAnsi="Century Gothic" w:cs="Arial"/>
                <w:sz w:val="28"/>
                <w:szCs w:val="28"/>
              </w:rPr>
              <w:t>These ideas are for all people with learning disabilities including those with autism and Down’s syndrome.</w:t>
            </w:r>
          </w:p>
          <w:p w14:paraId="61F92C65" w14:textId="77777777" w:rsidR="00F71F27" w:rsidRDefault="00F71F27" w:rsidP="00A056A3">
            <w:pPr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  <w:p w14:paraId="2F291318" w14:textId="77777777" w:rsidR="00F71F27" w:rsidRPr="0006586D" w:rsidRDefault="00F71F27" w:rsidP="00A056A3">
            <w:pPr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</w:tc>
      </w:tr>
      <w:tr w:rsidR="00F71F27" w14:paraId="5CA91DB9" w14:textId="77777777" w:rsidTr="00F71F27">
        <w:tc>
          <w:tcPr>
            <w:tcW w:w="3093" w:type="dxa"/>
          </w:tcPr>
          <w:p w14:paraId="667449F5" w14:textId="29DA0FD1" w:rsidR="00F71F27" w:rsidRDefault="00C22FCA" w:rsidP="00A056A3">
            <w:pPr>
              <w:jc w:val="both"/>
              <w:rPr>
                <w:b/>
                <w:bCs/>
                <w:sz w:val="24"/>
                <w:szCs w:val="24"/>
              </w:rPr>
            </w:pPr>
            <w:r w:rsidRPr="000212A2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9DA057" wp14:editId="131CF42A">
                  <wp:extent cx="1737360" cy="1765158"/>
                  <wp:effectExtent l="0" t="0" r="0" b="6985"/>
                  <wp:docPr id="13" name="Picture 13" descr="About every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out every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987" cy="178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14:paraId="16463132" w14:textId="77777777" w:rsidR="00F71F27" w:rsidRDefault="00F71F27" w:rsidP="00A056A3">
            <w:pPr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  <w:p w14:paraId="1DDA01F0" w14:textId="75451349" w:rsidR="00F71F27" w:rsidRPr="0006586D" w:rsidRDefault="00F71F27" w:rsidP="00F71F27">
            <w:pPr>
              <w:pStyle w:val="ListParagraph"/>
              <w:numPr>
                <w:ilvl w:val="0"/>
                <w:numId w:val="1"/>
              </w:numPr>
              <w:ind w:left="469" w:hanging="469"/>
              <w:rPr>
                <w:rFonts w:ascii="Century Gothic" w:hAnsi="Century Gothic"/>
                <w:sz w:val="28"/>
                <w:szCs w:val="28"/>
              </w:rPr>
            </w:pPr>
            <w:r w:rsidRPr="0006586D">
              <w:rPr>
                <w:rFonts w:ascii="Century Gothic" w:hAnsi="Century Gothic"/>
                <w:sz w:val="28"/>
                <w:szCs w:val="28"/>
              </w:rPr>
              <w:t>People with learning disabilities don’t want to be referred to as having different needs to ‘other’ people.  Use positive language that is inclusive and promotes equality.</w:t>
            </w:r>
          </w:p>
          <w:p w14:paraId="4F89258F" w14:textId="77777777" w:rsidR="00F71F27" w:rsidRDefault="00F71F27" w:rsidP="00A056A3">
            <w:pPr>
              <w:rPr>
                <w:b/>
                <w:bCs/>
                <w:sz w:val="24"/>
                <w:szCs w:val="24"/>
              </w:rPr>
            </w:pPr>
          </w:p>
          <w:p w14:paraId="5B72C2D4" w14:textId="77777777" w:rsidR="00F71F27" w:rsidRDefault="00F71F27" w:rsidP="00A056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1F27" w14:paraId="35F9C8AC" w14:textId="77777777" w:rsidTr="00F71F27">
        <w:trPr>
          <w:trHeight w:val="1823"/>
        </w:trPr>
        <w:tc>
          <w:tcPr>
            <w:tcW w:w="3093" w:type="dxa"/>
          </w:tcPr>
          <w:p w14:paraId="5EE632D3" w14:textId="72756762" w:rsidR="00F71F27" w:rsidRDefault="003803F5" w:rsidP="00A056A3">
            <w:pPr>
              <w:jc w:val="both"/>
              <w:rPr>
                <w:b/>
                <w:bCs/>
                <w:sz w:val="24"/>
                <w:szCs w:val="24"/>
              </w:rPr>
            </w:pPr>
            <w:r w:rsidRPr="003803F5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9D7B5DC" wp14:editId="467E7B5B">
                  <wp:extent cx="1737360" cy="1737360"/>
                  <wp:effectExtent l="0" t="0" r="0" b="0"/>
                  <wp:docPr id="27" name="Picture 27" descr="important t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portant t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14:paraId="4038A2B7" w14:textId="77777777" w:rsidR="00F71F27" w:rsidRDefault="00F71F27" w:rsidP="00A056A3">
            <w:pPr>
              <w:pStyle w:val="ListParagraph"/>
              <w:ind w:left="454" w:hanging="426"/>
              <w:jc w:val="both"/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  <w:p w14:paraId="57C72D0E" w14:textId="059D9A4F" w:rsidR="00F71F27" w:rsidRPr="0006586D" w:rsidRDefault="00F71F27" w:rsidP="00A056A3">
            <w:pPr>
              <w:ind w:left="469" w:hanging="469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3.   </w:t>
            </w:r>
            <w:r w:rsidRPr="0006586D">
              <w:rPr>
                <w:rFonts w:ascii="Century Gothic" w:hAnsi="Century Gothic"/>
                <w:sz w:val="28"/>
                <w:szCs w:val="28"/>
              </w:rPr>
              <w:t xml:space="preserve">Going for an </w:t>
            </w: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Pr="0006586D">
              <w:rPr>
                <w:rFonts w:ascii="Century Gothic" w:hAnsi="Century Gothic"/>
                <w:sz w:val="28"/>
                <w:szCs w:val="28"/>
              </w:rPr>
              <w:t xml:space="preserve">nnual </w:t>
            </w:r>
            <w:r>
              <w:rPr>
                <w:rFonts w:ascii="Century Gothic" w:hAnsi="Century Gothic"/>
                <w:sz w:val="28"/>
                <w:szCs w:val="28"/>
              </w:rPr>
              <w:t>H</w:t>
            </w:r>
            <w:r w:rsidRPr="0006586D">
              <w:rPr>
                <w:rFonts w:ascii="Century Gothic" w:hAnsi="Century Gothic"/>
                <w:sz w:val="28"/>
                <w:szCs w:val="28"/>
              </w:rPr>
              <w:t xml:space="preserve">ealth </w:t>
            </w: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Pr="0006586D">
              <w:rPr>
                <w:rFonts w:ascii="Century Gothic" w:hAnsi="Century Gothic"/>
                <w:sz w:val="28"/>
                <w:szCs w:val="28"/>
              </w:rPr>
              <w:t>heck is like going for half a pizza, people want a full pizza.   Questions should not just focus on physical health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  <w:r w:rsidRPr="0006586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Pr="0006586D">
              <w:rPr>
                <w:rFonts w:ascii="Century Gothic" w:hAnsi="Century Gothic"/>
                <w:sz w:val="28"/>
                <w:szCs w:val="28"/>
              </w:rPr>
              <w:t xml:space="preserve">nnual </w:t>
            </w:r>
            <w:r>
              <w:rPr>
                <w:rFonts w:ascii="Century Gothic" w:hAnsi="Century Gothic"/>
                <w:sz w:val="28"/>
                <w:szCs w:val="28"/>
              </w:rPr>
              <w:t>H</w:t>
            </w:r>
            <w:r w:rsidRPr="0006586D">
              <w:rPr>
                <w:rFonts w:ascii="Century Gothic" w:hAnsi="Century Gothic"/>
                <w:sz w:val="28"/>
                <w:szCs w:val="28"/>
              </w:rPr>
              <w:t xml:space="preserve">ealth </w:t>
            </w: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Pr="0006586D">
              <w:rPr>
                <w:rFonts w:ascii="Century Gothic" w:hAnsi="Century Gothic"/>
                <w:sz w:val="28"/>
                <w:szCs w:val="28"/>
              </w:rPr>
              <w:t>hecks should be about the whole person and include mental health.</w:t>
            </w:r>
          </w:p>
          <w:p w14:paraId="0F18657B" w14:textId="77777777" w:rsidR="00F71F27" w:rsidRPr="00123DF6" w:rsidRDefault="00F71F27" w:rsidP="00A056A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F71F27" w14:paraId="78859588" w14:textId="77777777" w:rsidTr="00F71F27">
        <w:trPr>
          <w:trHeight w:val="1823"/>
        </w:trPr>
        <w:tc>
          <w:tcPr>
            <w:tcW w:w="3093" w:type="dxa"/>
          </w:tcPr>
          <w:p w14:paraId="4A942FAC" w14:textId="57B5977A" w:rsidR="00F71F27" w:rsidRDefault="0075614D" w:rsidP="00A056A3">
            <w:pPr>
              <w:jc w:val="both"/>
              <w:rPr>
                <w:b/>
                <w:bCs/>
                <w:sz w:val="24"/>
                <w:szCs w:val="24"/>
              </w:rPr>
            </w:pPr>
            <w:r w:rsidRPr="0075614D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2B92FA32" wp14:editId="79374095">
                  <wp:extent cx="1905000" cy="2377440"/>
                  <wp:effectExtent l="0" t="0" r="0" b="3810"/>
                  <wp:docPr id="20" name="Picture 20" descr="urine sample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rine sample 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14:paraId="31F5B460" w14:textId="77777777" w:rsidR="00F71F27" w:rsidRDefault="00F71F27" w:rsidP="00A056A3">
            <w:pPr>
              <w:jc w:val="both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14:paraId="3A158704" w14:textId="04FFDDC4" w:rsidR="00F71F27" w:rsidRPr="0006586D" w:rsidRDefault="00F71F27" w:rsidP="00A056A3">
            <w:pPr>
              <w:ind w:left="469" w:hanging="50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4.   </w:t>
            </w:r>
            <w:r w:rsidRPr="0006586D">
              <w:rPr>
                <w:rFonts w:ascii="Century Gothic" w:hAnsi="Century Gothic"/>
                <w:sz w:val="28"/>
                <w:szCs w:val="28"/>
              </w:rPr>
              <w:t>Don’t take the pee!  Don’t ask people to provide urine samples and other results if they are not collected.</w:t>
            </w:r>
            <w:r w:rsidR="002D11F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6586D">
              <w:rPr>
                <w:rFonts w:ascii="Century Gothic" w:hAnsi="Century Gothic"/>
                <w:sz w:val="28"/>
                <w:szCs w:val="28"/>
              </w:rPr>
              <w:t xml:space="preserve"> It wastes people’s time.</w:t>
            </w:r>
          </w:p>
          <w:p w14:paraId="66E96A82" w14:textId="77777777" w:rsidR="00F71F27" w:rsidRDefault="00F71F27" w:rsidP="00A056A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3A7F710" w14:textId="77777777" w:rsidR="00F71F27" w:rsidRDefault="00F71F27" w:rsidP="00A056A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DBDE19F" w14:textId="77777777" w:rsidR="00F71F27" w:rsidRPr="00CD7648" w:rsidRDefault="00F71F27" w:rsidP="00A056A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1F27" w14:paraId="0A04CF2C" w14:textId="77777777" w:rsidTr="00F71F27">
        <w:trPr>
          <w:trHeight w:val="1823"/>
        </w:trPr>
        <w:tc>
          <w:tcPr>
            <w:tcW w:w="3093" w:type="dxa"/>
          </w:tcPr>
          <w:p w14:paraId="37C67D84" w14:textId="35FDA65E" w:rsidR="00F71F27" w:rsidRDefault="00DC0A0F" w:rsidP="00A056A3">
            <w:pPr>
              <w:jc w:val="both"/>
              <w:rPr>
                <w:b/>
                <w:bCs/>
                <w:sz w:val="24"/>
                <w:szCs w:val="24"/>
              </w:rPr>
            </w:pPr>
            <w:r w:rsidRPr="00DC0A0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ADDACB" wp14:editId="6913C1C6">
                  <wp:extent cx="1905000" cy="1905000"/>
                  <wp:effectExtent l="0" t="0" r="0" b="0"/>
                  <wp:docPr id="21" name="Picture 21" descr="listen t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sten t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14:paraId="54C9F536" w14:textId="77777777" w:rsidR="00F71F27" w:rsidRPr="00CD7648" w:rsidRDefault="00F71F27" w:rsidP="00F71F27">
            <w:pPr>
              <w:pStyle w:val="ListParagraph"/>
              <w:numPr>
                <w:ilvl w:val="0"/>
                <w:numId w:val="2"/>
              </w:numPr>
              <w:ind w:left="468" w:hanging="426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091B04">
              <w:rPr>
                <w:rFonts w:ascii="Century Gothic" w:hAnsi="Century Gothic"/>
                <w:sz w:val="28"/>
                <w:szCs w:val="28"/>
              </w:rPr>
              <w:t xml:space="preserve">Some people with learning disabilities can talk about the health issues that are important to them.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91B04">
              <w:rPr>
                <w:rFonts w:ascii="Century Gothic" w:hAnsi="Century Gothic"/>
                <w:sz w:val="28"/>
                <w:szCs w:val="28"/>
              </w:rPr>
              <w:t>Some people may find it more difficult to talk about their health and need support.</w:t>
            </w:r>
          </w:p>
          <w:p w14:paraId="62D104A9" w14:textId="77777777" w:rsidR="00F71F27" w:rsidRDefault="00F71F27" w:rsidP="00A056A3">
            <w:pPr>
              <w:pStyle w:val="ListParagraph"/>
              <w:ind w:left="454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  <w:p w14:paraId="07ACC4C1" w14:textId="77777777" w:rsidR="00F71F27" w:rsidRPr="00091B04" w:rsidRDefault="00F71F27" w:rsidP="00A056A3">
            <w:pPr>
              <w:pStyle w:val="ListParagraph"/>
              <w:ind w:left="454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F71F27" w14:paraId="7C79B948" w14:textId="77777777" w:rsidTr="00F71F27">
        <w:trPr>
          <w:trHeight w:val="1823"/>
        </w:trPr>
        <w:tc>
          <w:tcPr>
            <w:tcW w:w="3093" w:type="dxa"/>
          </w:tcPr>
          <w:p w14:paraId="758C8128" w14:textId="201B5C32" w:rsidR="00F71F27" w:rsidRDefault="00F41EB3" w:rsidP="00A056A3">
            <w:pPr>
              <w:jc w:val="both"/>
              <w:rPr>
                <w:b/>
                <w:bCs/>
                <w:sz w:val="24"/>
                <w:szCs w:val="24"/>
              </w:rPr>
            </w:pPr>
            <w:r w:rsidRPr="00F41EB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25A947" wp14:editId="4BE15F8C">
                  <wp:extent cx="1905000" cy="1874520"/>
                  <wp:effectExtent l="0" t="0" r="0" b="0"/>
                  <wp:docPr id="22" name="Picture 22" descr="Talking and  list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alking and  list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14:paraId="2A43C1E3" w14:textId="77777777" w:rsidR="00F71F27" w:rsidRDefault="00F71F27" w:rsidP="00A056A3">
            <w:pPr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  <w:p w14:paraId="0471D9BD" w14:textId="180D214E" w:rsidR="00F71F27" w:rsidRPr="00091B04" w:rsidRDefault="00F71F27" w:rsidP="00F71F27">
            <w:pPr>
              <w:pStyle w:val="ListParagraph"/>
              <w:numPr>
                <w:ilvl w:val="0"/>
                <w:numId w:val="2"/>
              </w:numPr>
              <w:ind w:left="454" w:hanging="426"/>
              <w:rPr>
                <w:rFonts w:ascii="Century Gothic" w:hAnsi="Century Gothic"/>
                <w:sz w:val="28"/>
                <w:szCs w:val="28"/>
              </w:rPr>
            </w:pPr>
            <w:r w:rsidRPr="00091B04">
              <w:rPr>
                <w:rFonts w:ascii="Century Gothic" w:hAnsi="Century Gothic"/>
                <w:sz w:val="28"/>
                <w:szCs w:val="28"/>
              </w:rPr>
              <w:t xml:space="preserve">Annual </w:t>
            </w:r>
            <w:r>
              <w:rPr>
                <w:rFonts w:ascii="Century Gothic" w:hAnsi="Century Gothic"/>
                <w:sz w:val="28"/>
                <w:szCs w:val="28"/>
              </w:rPr>
              <w:t>H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ealth </w:t>
            </w: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hecks should be </w:t>
            </w:r>
            <w:r>
              <w:rPr>
                <w:rFonts w:ascii="Century Gothic" w:hAnsi="Century Gothic"/>
                <w:sz w:val="28"/>
                <w:szCs w:val="28"/>
              </w:rPr>
              <w:t>carried out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face to face with pictures to support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them.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T</w:t>
            </w:r>
            <w:r w:rsidRPr="00091B04">
              <w:rPr>
                <w:rFonts w:ascii="Century Gothic" w:hAnsi="Century Gothic"/>
                <w:sz w:val="28"/>
                <w:szCs w:val="28"/>
              </w:rPr>
              <w:t>hey should be online if it</w:t>
            </w:r>
            <w:r>
              <w:rPr>
                <w:rFonts w:ascii="Century Gothic" w:hAnsi="Century Gothic"/>
                <w:sz w:val="28"/>
                <w:szCs w:val="28"/>
              </w:rPr>
              <w:t>’</w:t>
            </w:r>
            <w:r w:rsidRPr="00091B04">
              <w:rPr>
                <w:rFonts w:ascii="Century Gothic" w:hAnsi="Century Gothic"/>
                <w:sz w:val="28"/>
                <w:szCs w:val="28"/>
              </w:rPr>
              <w:t>s not possible to attend the surgery</w:t>
            </w:r>
            <w:r>
              <w:rPr>
                <w:rFonts w:ascii="Century Gothic" w:hAnsi="Century Gothic"/>
                <w:sz w:val="28"/>
                <w:szCs w:val="28"/>
              </w:rPr>
              <w:t>. They should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never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be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over the telephone.</w:t>
            </w:r>
          </w:p>
          <w:p w14:paraId="1EBAEAF3" w14:textId="77777777" w:rsidR="00F71F27" w:rsidRDefault="00F71F27" w:rsidP="00A056A3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03D4241A" w14:textId="77777777" w:rsidR="00F71F27" w:rsidRPr="00091B04" w:rsidRDefault="00F71F27" w:rsidP="00A056A3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F71F27" w14:paraId="71D15C25" w14:textId="77777777" w:rsidTr="00F71F27">
        <w:trPr>
          <w:trHeight w:val="1823"/>
        </w:trPr>
        <w:tc>
          <w:tcPr>
            <w:tcW w:w="3093" w:type="dxa"/>
          </w:tcPr>
          <w:p w14:paraId="64C5F611" w14:textId="61B4CE96" w:rsidR="00F71F27" w:rsidRDefault="009349DC" w:rsidP="00A056A3">
            <w:pPr>
              <w:jc w:val="both"/>
              <w:rPr>
                <w:b/>
                <w:bCs/>
                <w:sz w:val="24"/>
                <w:szCs w:val="24"/>
              </w:rPr>
            </w:pPr>
            <w:r w:rsidRPr="009349DC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E128ED" wp14:editId="7854A116">
                  <wp:extent cx="1905000" cy="1905000"/>
                  <wp:effectExtent l="0" t="0" r="0" b="0"/>
                  <wp:docPr id="23" name="Picture 23" descr="help writing your 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p writing your 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14:paraId="197DCE35" w14:textId="77777777" w:rsidR="00F71F27" w:rsidRDefault="00F71F27" w:rsidP="00A056A3">
            <w:pPr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  <w:p w14:paraId="0A5C8D8A" w14:textId="62813295" w:rsidR="00F71F27" w:rsidRPr="00091B04" w:rsidRDefault="00F71F27" w:rsidP="00F71F27">
            <w:pPr>
              <w:pStyle w:val="ListParagraph"/>
              <w:numPr>
                <w:ilvl w:val="0"/>
                <w:numId w:val="2"/>
              </w:numPr>
              <w:ind w:left="454" w:hanging="426"/>
              <w:rPr>
                <w:rFonts w:ascii="Century Gothic" w:hAnsi="Century Gothic"/>
                <w:sz w:val="28"/>
                <w:szCs w:val="28"/>
              </w:rPr>
            </w:pPr>
            <w:r w:rsidRPr="00091B04">
              <w:rPr>
                <w:rFonts w:ascii="Century Gothic" w:hAnsi="Century Gothic"/>
                <w:sz w:val="28"/>
                <w:szCs w:val="28"/>
              </w:rPr>
              <w:t>Where possible</w:t>
            </w:r>
            <w:r>
              <w:rPr>
                <w:rFonts w:ascii="Century Gothic" w:hAnsi="Century Gothic"/>
                <w:sz w:val="28"/>
                <w:szCs w:val="28"/>
              </w:rPr>
              <w:t>,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people should be involved in agreeing </w:t>
            </w:r>
            <w:r>
              <w:rPr>
                <w:rFonts w:ascii="Century Gothic" w:hAnsi="Century Gothic"/>
                <w:sz w:val="28"/>
                <w:szCs w:val="28"/>
              </w:rPr>
              <w:t>their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nnual </w:t>
            </w:r>
            <w:r>
              <w:rPr>
                <w:rFonts w:ascii="Century Gothic" w:hAnsi="Century Gothic"/>
                <w:sz w:val="28"/>
                <w:szCs w:val="28"/>
              </w:rPr>
              <w:t>H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ealth </w:t>
            </w:r>
            <w:r>
              <w:rPr>
                <w:rFonts w:ascii="Century Gothic" w:hAnsi="Century Gothic"/>
                <w:sz w:val="28"/>
                <w:szCs w:val="28"/>
              </w:rPr>
              <w:t>P</w:t>
            </w:r>
            <w:r w:rsidRPr="00091B04">
              <w:rPr>
                <w:rFonts w:ascii="Century Gothic" w:hAnsi="Century Gothic"/>
                <w:sz w:val="28"/>
                <w:szCs w:val="28"/>
              </w:rPr>
              <w:t>lan</w:t>
            </w:r>
            <w:r>
              <w:rPr>
                <w:rFonts w:ascii="Century Gothic" w:hAnsi="Century Gothic"/>
                <w:sz w:val="28"/>
                <w:szCs w:val="28"/>
              </w:rPr>
              <w:t xml:space="preserve">.  It 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should be written down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and </w:t>
            </w:r>
            <w:r w:rsidRPr="00091B04">
              <w:rPr>
                <w:rFonts w:ascii="Century Gothic" w:hAnsi="Century Gothic"/>
                <w:sz w:val="28"/>
                <w:szCs w:val="28"/>
              </w:rPr>
              <w:t>based on health priorities they need to manage.</w:t>
            </w:r>
          </w:p>
          <w:p w14:paraId="1BAEA926" w14:textId="77777777" w:rsidR="00F71F27" w:rsidRDefault="00F71F27" w:rsidP="00A056A3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169BCB42" w14:textId="77777777" w:rsidR="00F71F27" w:rsidRPr="00091B04" w:rsidRDefault="00F71F27" w:rsidP="00A056A3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F71F27" w14:paraId="5131740D" w14:textId="77777777" w:rsidTr="00F71F27">
        <w:trPr>
          <w:trHeight w:val="1823"/>
        </w:trPr>
        <w:tc>
          <w:tcPr>
            <w:tcW w:w="3093" w:type="dxa"/>
          </w:tcPr>
          <w:p w14:paraId="07C8E7FD" w14:textId="1A1A651C" w:rsidR="00F71F27" w:rsidRDefault="003762AF" w:rsidP="00A056A3">
            <w:pPr>
              <w:jc w:val="both"/>
              <w:rPr>
                <w:b/>
                <w:bCs/>
                <w:sz w:val="24"/>
                <w:szCs w:val="24"/>
              </w:rPr>
            </w:pPr>
            <w:r w:rsidRPr="003762AF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3ED6BA73" wp14:editId="296B72A8">
                  <wp:extent cx="1905000" cy="2171700"/>
                  <wp:effectExtent l="0" t="0" r="0" b="0"/>
                  <wp:docPr id="24" name="Picture 24" descr="waiting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aiting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14:paraId="417881CB" w14:textId="77777777" w:rsidR="00F71F27" w:rsidRDefault="00F71F27" w:rsidP="00A056A3">
            <w:pPr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  <w:p w14:paraId="47181B04" w14:textId="77777777" w:rsidR="00F71F27" w:rsidRPr="00CD7648" w:rsidRDefault="00F71F27" w:rsidP="00F71F27">
            <w:pPr>
              <w:pStyle w:val="ListParagraph"/>
              <w:numPr>
                <w:ilvl w:val="0"/>
                <w:numId w:val="2"/>
              </w:numPr>
              <w:ind w:left="454" w:hanging="454"/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If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possible</w:t>
            </w:r>
            <w:r>
              <w:rPr>
                <w:rFonts w:ascii="Century Gothic" w:hAnsi="Century Gothic"/>
                <w:sz w:val="28"/>
                <w:szCs w:val="28"/>
              </w:rPr>
              <w:t>,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arrange with the person where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when it’s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best for them to have the</w:t>
            </w:r>
            <w:r>
              <w:rPr>
                <w:rFonts w:ascii="Century Gothic" w:hAnsi="Century Gothic"/>
                <w:sz w:val="28"/>
                <w:szCs w:val="28"/>
              </w:rPr>
              <w:t>ir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appointment and use number systems</w:t>
            </w:r>
            <w:r>
              <w:rPr>
                <w:rFonts w:ascii="Century Gothic" w:hAnsi="Century Gothic"/>
                <w:sz w:val="28"/>
                <w:szCs w:val="28"/>
              </w:rPr>
              <w:t>.  I</w:t>
            </w:r>
            <w:r w:rsidRPr="00091B04">
              <w:rPr>
                <w:rFonts w:ascii="Century Gothic" w:hAnsi="Century Gothic"/>
                <w:sz w:val="28"/>
                <w:szCs w:val="28"/>
              </w:rPr>
              <w:t>t</w:t>
            </w:r>
            <w:r>
              <w:rPr>
                <w:rFonts w:ascii="Century Gothic" w:hAnsi="Century Gothic"/>
                <w:sz w:val="28"/>
                <w:szCs w:val="28"/>
              </w:rPr>
              <w:t>’s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good to know where you are in the </w:t>
            </w:r>
            <w:r>
              <w:rPr>
                <w:rFonts w:ascii="Century Gothic" w:hAnsi="Century Gothic"/>
                <w:sz w:val="28"/>
                <w:szCs w:val="28"/>
              </w:rPr>
              <w:t>queue</w:t>
            </w:r>
            <w:r w:rsidRPr="00091B04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02D1533B" w14:textId="77777777" w:rsidR="00F71F27" w:rsidRDefault="00F71F27" w:rsidP="00A056A3">
            <w:pPr>
              <w:pStyle w:val="ListParagraph"/>
              <w:ind w:left="454"/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  <w:p w14:paraId="3372ABB1" w14:textId="77777777" w:rsidR="00F71F27" w:rsidRPr="00091B04" w:rsidRDefault="00F71F27" w:rsidP="00A056A3">
            <w:pPr>
              <w:pStyle w:val="ListParagraph"/>
              <w:ind w:left="454"/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</w:tc>
      </w:tr>
      <w:tr w:rsidR="00F71F27" w14:paraId="27934212" w14:textId="77777777" w:rsidTr="00F71F27">
        <w:trPr>
          <w:trHeight w:val="1823"/>
        </w:trPr>
        <w:tc>
          <w:tcPr>
            <w:tcW w:w="3093" w:type="dxa"/>
          </w:tcPr>
          <w:p w14:paraId="713E03E4" w14:textId="3065EA2B" w:rsidR="00F71F27" w:rsidRDefault="00B85D28" w:rsidP="00A056A3">
            <w:pPr>
              <w:jc w:val="both"/>
              <w:rPr>
                <w:b/>
                <w:bCs/>
                <w:sz w:val="24"/>
                <w:szCs w:val="24"/>
              </w:rPr>
            </w:pPr>
            <w:r w:rsidRPr="00B85D2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7F37509" wp14:editId="43E7D868">
                  <wp:extent cx="1905000" cy="1905000"/>
                  <wp:effectExtent l="0" t="0" r="0" b="0"/>
                  <wp:docPr id="25" name="Picture 25" descr="Easy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asy 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</w:tcPr>
          <w:p w14:paraId="7328349E" w14:textId="77777777" w:rsidR="00F71F27" w:rsidRDefault="00F71F27" w:rsidP="00A056A3">
            <w:pPr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  <w:p w14:paraId="687775BA" w14:textId="73B04E51" w:rsidR="00F71F27" w:rsidRPr="00EB60DC" w:rsidRDefault="00F71F27" w:rsidP="00F71F27">
            <w:pPr>
              <w:pStyle w:val="ListParagraph"/>
              <w:numPr>
                <w:ilvl w:val="0"/>
                <w:numId w:val="2"/>
              </w:numPr>
              <w:ind w:left="454" w:hanging="426"/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  <w:r w:rsidRPr="00091B04">
              <w:rPr>
                <w:rFonts w:ascii="Century Gothic" w:hAnsi="Century Gothic"/>
                <w:sz w:val="28"/>
                <w:szCs w:val="28"/>
              </w:rPr>
              <w:t>Support providers and GPs need to make sure everyone has access to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easy read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information ab</w:t>
            </w:r>
            <w:r>
              <w:rPr>
                <w:rFonts w:ascii="Century Gothic" w:hAnsi="Century Gothic"/>
                <w:sz w:val="28"/>
                <w:szCs w:val="28"/>
              </w:rPr>
              <w:t>o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ut </w:t>
            </w:r>
            <w:r>
              <w:rPr>
                <w:rFonts w:ascii="Century Gothic" w:hAnsi="Century Gothic"/>
                <w:sz w:val="28"/>
                <w:szCs w:val="28"/>
              </w:rPr>
              <w:t>how A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nnual </w:t>
            </w:r>
            <w:r>
              <w:rPr>
                <w:rFonts w:ascii="Century Gothic" w:hAnsi="Century Gothic"/>
                <w:sz w:val="28"/>
                <w:szCs w:val="28"/>
              </w:rPr>
              <w:t>H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ealth </w:t>
            </w: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Pr="00091B04">
              <w:rPr>
                <w:rFonts w:ascii="Century Gothic" w:hAnsi="Century Gothic"/>
                <w:sz w:val="28"/>
                <w:szCs w:val="28"/>
              </w:rPr>
              <w:t>heck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work.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There should be easy read information about </w:t>
            </w:r>
            <w:r w:rsidRPr="00091B04">
              <w:rPr>
                <w:rFonts w:ascii="Century Gothic" w:hAnsi="Century Gothic"/>
                <w:sz w:val="28"/>
                <w:szCs w:val="28"/>
              </w:rPr>
              <w:t>physical and mental health conditions</w:t>
            </w:r>
            <w:r>
              <w:rPr>
                <w:rFonts w:ascii="Century Gothic" w:hAnsi="Century Gothic"/>
                <w:sz w:val="28"/>
                <w:szCs w:val="28"/>
              </w:rPr>
              <w:t>,</w:t>
            </w:r>
            <w:r w:rsidRPr="00091B04">
              <w:rPr>
                <w:rFonts w:ascii="Century Gothic" w:hAnsi="Century Gothic"/>
                <w:sz w:val="28"/>
                <w:szCs w:val="28"/>
              </w:rPr>
              <w:t xml:space="preserve"> and support.</w:t>
            </w:r>
          </w:p>
          <w:p w14:paraId="49EC42CD" w14:textId="77777777" w:rsidR="00F71F27" w:rsidRPr="00CD7648" w:rsidRDefault="00F71F27" w:rsidP="00A056A3">
            <w:pPr>
              <w:pStyle w:val="ListParagraph"/>
              <w:ind w:left="454"/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  <w:p w14:paraId="07CB9156" w14:textId="77777777" w:rsidR="00F71F27" w:rsidRPr="00123DF6" w:rsidRDefault="00F71F27" w:rsidP="00A056A3">
            <w:pPr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</w:p>
        </w:tc>
      </w:tr>
      <w:tr w:rsidR="00F71F27" w14:paraId="0745D2E1" w14:textId="77777777" w:rsidTr="00F71F27">
        <w:trPr>
          <w:trHeight w:val="1979"/>
        </w:trPr>
        <w:tc>
          <w:tcPr>
            <w:tcW w:w="3093" w:type="dxa"/>
          </w:tcPr>
          <w:p w14:paraId="575A7E5C" w14:textId="64CA7945" w:rsidR="00F71F27" w:rsidRDefault="00F71F27" w:rsidP="00A056A3">
            <w:pPr>
              <w:jc w:val="both"/>
              <w:rPr>
                <w:b/>
                <w:bCs/>
                <w:noProof/>
                <w:sz w:val="24"/>
                <w:szCs w:val="24"/>
                <w:lang w:val="en-US"/>
              </w:rPr>
            </w:pPr>
          </w:p>
          <w:p w14:paraId="6B09A1D0" w14:textId="1A55DF70" w:rsidR="00F71F27" w:rsidRDefault="00D02052" w:rsidP="00A056A3">
            <w:pPr>
              <w:jc w:val="both"/>
              <w:rPr>
                <w:b/>
                <w:bCs/>
                <w:noProof/>
                <w:sz w:val="24"/>
                <w:szCs w:val="24"/>
                <w:lang w:val="en-US"/>
              </w:rPr>
            </w:pPr>
            <w:r w:rsidRPr="00D02052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404CC02" wp14:editId="02CABE8B">
                  <wp:extent cx="1905000" cy="1905000"/>
                  <wp:effectExtent l="0" t="0" r="0" b="0"/>
                  <wp:docPr id="26" name="Picture 26" descr="share information 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hare information 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1A730" w14:textId="77777777" w:rsidR="00F71F27" w:rsidRDefault="00F71F27" w:rsidP="00A056A3">
            <w:pPr>
              <w:jc w:val="both"/>
              <w:rPr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547" w:type="dxa"/>
          </w:tcPr>
          <w:p w14:paraId="4DC7DBBD" w14:textId="77777777" w:rsidR="00F71F27" w:rsidRPr="006E67A3" w:rsidRDefault="00F71F27" w:rsidP="00F71F27">
            <w:pPr>
              <w:pStyle w:val="ListParagraph"/>
              <w:numPr>
                <w:ilvl w:val="0"/>
                <w:numId w:val="2"/>
              </w:numPr>
              <w:ind w:left="469" w:hanging="426"/>
              <w:rPr>
                <w:rFonts w:ascii="Century Gothic" w:hAnsi="Century Gothic"/>
                <w:bCs/>
                <w:sz w:val="28"/>
                <w:szCs w:val="28"/>
                <w:u w:val="single"/>
              </w:rPr>
            </w:pPr>
            <w:r w:rsidRPr="006E67A3">
              <w:rPr>
                <w:rFonts w:ascii="Century Gothic" w:hAnsi="Century Gothic" w:cs="Arial"/>
                <w:sz w:val="28"/>
                <w:szCs w:val="28"/>
              </w:rPr>
              <w:t>There may not be time to discuss all health needs</w:t>
            </w:r>
            <w:r>
              <w:rPr>
                <w:rFonts w:ascii="Century Gothic" w:hAnsi="Century Gothic" w:cs="Arial"/>
                <w:sz w:val="28"/>
                <w:szCs w:val="28"/>
              </w:rPr>
              <w:t>,</w:t>
            </w:r>
            <w:r w:rsidRPr="006E67A3">
              <w:rPr>
                <w:rFonts w:ascii="Century Gothic" w:hAnsi="Century Gothic" w:cs="Arial"/>
                <w:sz w:val="28"/>
                <w:szCs w:val="28"/>
              </w:rPr>
              <w:t xml:space="preserve"> but the GP or nurse could </w:t>
            </w:r>
            <w:r>
              <w:rPr>
                <w:rFonts w:ascii="Century Gothic" w:hAnsi="Century Gothic" w:cs="Arial"/>
                <w:sz w:val="28"/>
                <w:szCs w:val="28"/>
              </w:rPr>
              <w:t>help</w:t>
            </w:r>
            <w:r w:rsidRPr="006E67A3">
              <w:rPr>
                <w:rFonts w:ascii="Century Gothic" w:hAnsi="Century Gothic" w:cs="Arial"/>
                <w:sz w:val="28"/>
                <w:szCs w:val="28"/>
              </w:rPr>
              <w:t xml:space="preserve"> with signposting or referrals, </w:t>
            </w:r>
            <w:r>
              <w:rPr>
                <w:rFonts w:ascii="Century Gothic" w:hAnsi="Century Gothic" w:cs="Arial"/>
                <w:sz w:val="28"/>
                <w:szCs w:val="28"/>
              </w:rPr>
              <w:t>such as</w:t>
            </w:r>
            <w:r w:rsidRPr="006E67A3">
              <w:rPr>
                <w:rFonts w:ascii="Century Gothic" w:hAnsi="Century Gothic" w:cs="Arial"/>
                <w:sz w:val="28"/>
                <w:szCs w:val="28"/>
              </w:rPr>
              <w:t xml:space="preserve"> mental health and well</w:t>
            </w:r>
            <w:r>
              <w:rPr>
                <w:rFonts w:ascii="Century Gothic" w:hAnsi="Century Gothic" w:cs="Arial"/>
                <w:sz w:val="28"/>
                <w:szCs w:val="28"/>
              </w:rPr>
              <w:t>-</w:t>
            </w:r>
            <w:r w:rsidRPr="006E67A3">
              <w:rPr>
                <w:rFonts w:ascii="Century Gothic" w:hAnsi="Century Gothic" w:cs="Arial"/>
                <w:sz w:val="28"/>
                <w:szCs w:val="28"/>
              </w:rPr>
              <w:t xml:space="preserve">being, 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and </w:t>
            </w:r>
            <w:r w:rsidRPr="006E67A3">
              <w:rPr>
                <w:rFonts w:ascii="Century Gothic" w:hAnsi="Century Gothic" w:cs="Arial"/>
                <w:sz w:val="28"/>
                <w:szCs w:val="28"/>
              </w:rPr>
              <w:t>sexual health guidance</w:t>
            </w:r>
            <w:r>
              <w:rPr>
                <w:rFonts w:ascii="Century Gothic" w:hAnsi="Century Gothic" w:cs="Arial"/>
                <w:sz w:val="28"/>
                <w:szCs w:val="28"/>
              </w:rPr>
              <w:t>.</w:t>
            </w:r>
          </w:p>
        </w:tc>
      </w:tr>
    </w:tbl>
    <w:p w14:paraId="6032C322" w14:textId="2AA5B5E8" w:rsidR="00F71F27" w:rsidRDefault="00F71F27"/>
    <w:p w14:paraId="32404173" w14:textId="63C72272" w:rsidR="00F71F27" w:rsidRDefault="00F71F27" w:rsidP="00F71F27">
      <w:pPr>
        <w:rPr>
          <w:rFonts w:ascii="Century Gothic" w:hAnsi="Century Gothic"/>
          <w:sz w:val="28"/>
          <w:szCs w:val="28"/>
        </w:rPr>
      </w:pPr>
      <w:r w:rsidRPr="00F71F27">
        <w:rPr>
          <w:rFonts w:ascii="Century Gothic" w:hAnsi="Century Gothic"/>
          <w:sz w:val="28"/>
          <w:szCs w:val="28"/>
        </w:rPr>
        <w:t xml:space="preserve">These principles </w:t>
      </w:r>
      <w:r>
        <w:rPr>
          <w:rFonts w:ascii="Century Gothic" w:hAnsi="Century Gothic"/>
          <w:sz w:val="28"/>
          <w:szCs w:val="28"/>
        </w:rPr>
        <w:t>have been</w:t>
      </w:r>
      <w:r w:rsidRPr="00F71F27">
        <w:rPr>
          <w:rFonts w:ascii="Century Gothic" w:hAnsi="Century Gothic"/>
          <w:sz w:val="28"/>
          <w:szCs w:val="28"/>
        </w:rPr>
        <w:t xml:space="preserve"> produced by people with learning disabilities in Somerset with The Open University. They used an approach called Mend </w:t>
      </w:r>
      <w:proofErr w:type="gramStart"/>
      <w:r w:rsidRPr="00F71F27">
        <w:rPr>
          <w:rFonts w:ascii="Century Gothic" w:hAnsi="Century Gothic"/>
          <w:sz w:val="28"/>
          <w:szCs w:val="28"/>
        </w:rPr>
        <w:t>The</w:t>
      </w:r>
      <w:proofErr w:type="gramEnd"/>
      <w:r w:rsidRPr="00F71F27">
        <w:rPr>
          <w:rFonts w:ascii="Century Gothic" w:hAnsi="Century Gothic"/>
          <w:sz w:val="28"/>
          <w:szCs w:val="28"/>
        </w:rPr>
        <w:t xml:space="preserve"> Gap. For more information about this, contact: Helen Casey, </w:t>
      </w:r>
      <w:hyperlink r:id="rId16" w:history="1">
        <w:r w:rsidRPr="00F71F27">
          <w:rPr>
            <w:rStyle w:val="Hyperlink"/>
            <w:rFonts w:ascii="Century Gothic" w:hAnsi="Century Gothic"/>
            <w:sz w:val="28"/>
            <w:szCs w:val="28"/>
          </w:rPr>
          <w:t>helen.casey@open.ac.uk</w:t>
        </w:r>
      </w:hyperlink>
    </w:p>
    <w:p w14:paraId="6981626D" w14:textId="4A62888A" w:rsidR="00F71F27" w:rsidRDefault="00F71F27" w:rsidP="00F71F27">
      <w:pPr>
        <w:rPr>
          <w:rStyle w:val="Hyperlink"/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More information and help on supporting people with annual health checks can be found on the Registered Care Providers Association website: </w:t>
      </w:r>
      <w:hyperlink r:id="rId17" w:history="1">
        <w:r w:rsidRPr="00831CAB">
          <w:rPr>
            <w:rStyle w:val="Hyperlink"/>
            <w:rFonts w:ascii="Century Gothic" w:hAnsi="Century Gothic"/>
            <w:sz w:val="28"/>
            <w:szCs w:val="28"/>
          </w:rPr>
          <w:t>www.rcpa.org.uk</w:t>
        </w:r>
      </w:hyperlink>
    </w:p>
    <w:p w14:paraId="411CFA03" w14:textId="5C726871" w:rsidR="00371218" w:rsidRPr="00371218" w:rsidRDefault="00371218" w:rsidP="00F71F27">
      <w:pPr>
        <w:rPr>
          <w:rFonts w:ascii="Century Gothic" w:hAnsi="Century Gothic"/>
          <w:sz w:val="28"/>
          <w:szCs w:val="28"/>
        </w:rPr>
      </w:pPr>
      <w:r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lastRenderedPageBreak/>
        <w:t>Acknowledgement</w:t>
      </w:r>
      <w:r w:rsidR="00055547"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>s</w:t>
      </w:r>
      <w:r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 xml:space="preserve"> to ‘easy on the </w:t>
      </w:r>
      <w:proofErr w:type="spellStart"/>
      <w:r w:rsidR="00142A2D"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>i</w:t>
      </w:r>
      <w:proofErr w:type="spellEnd"/>
      <w:r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 xml:space="preserve">’, </w:t>
      </w:r>
      <w:r w:rsidR="006B3917"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>part of the Learning Disability Service at Leeds and York Partnership NHS Foundation Trust</w:t>
      </w:r>
      <w:r w:rsidR="00142A2D">
        <w:rPr>
          <w:rStyle w:val="Hyperlink"/>
          <w:rFonts w:ascii="Century Gothic" w:hAnsi="Century Gothic"/>
          <w:color w:val="auto"/>
          <w:sz w:val="28"/>
          <w:szCs w:val="28"/>
          <w:u w:val="none"/>
        </w:rPr>
        <w:t xml:space="preserve"> for the ‘easy-read’ symbols.</w:t>
      </w:r>
    </w:p>
    <w:p w14:paraId="6DF9B56A" w14:textId="677863AB" w:rsidR="00F71F27" w:rsidRPr="00F71F27" w:rsidRDefault="00456FCE" w:rsidP="00F71F2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F2193F1" wp14:editId="5C1F19DD">
            <wp:extent cx="809625" cy="6096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1F27">
        <w:rPr>
          <w:rFonts w:ascii="Century Gothic" w:hAnsi="Century Gothic"/>
          <w:sz w:val="28"/>
          <w:szCs w:val="28"/>
        </w:rPr>
        <w:t xml:space="preserve">   </w:t>
      </w:r>
      <w:r w:rsidR="00F71F27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A5AC0D9" wp14:editId="44535750">
            <wp:extent cx="1786255" cy="59118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1F27">
        <w:rPr>
          <w:rFonts w:ascii="Century Gothic" w:hAnsi="Century Gothic"/>
          <w:sz w:val="28"/>
          <w:szCs w:val="28"/>
        </w:rPr>
        <w:t xml:space="preserve"> </w:t>
      </w:r>
      <w:r w:rsidR="00F71F27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EFB879E" wp14:editId="61DE489B">
            <wp:extent cx="932815" cy="817245"/>
            <wp:effectExtent l="0" t="0" r="63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1F27">
        <w:rPr>
          <w:rFonts w:ascii="Century Gothic" w:hAnsi="Century Gothic"/>
          <w:sz w:val="28"/>
          <w:szCs w:val="28"/>
        </w:rPr>
        <w:t xml:space="preserve">   </w:t>
      </w:r>
      <w:r w:rsidR="00F71F27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95F4418" wp14:editId="55E5D268">
            <wp:extent cx="1804670" cy="810895"/>
            <wp:effectExtent l="0" t="0" r="508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A4A46" w14:textId="6F97033B" w:rsidR="00F71F27" w:rsidRDefault="00F71F27" w:rsidP="00F71F27"/>
    <w:p w14:paraId="0F63E918" w14:textId="77777777" w:rsidR="00F71F27" w:rsidRDefault="00F71F27" w:rsidP="00F71F27"/>
    <w:sectPr w:rsidR="00F71F27" w:rsidSect="0086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0A19"/>
    <w:multiLevelType w:val="hybridMultilevel"/>
    <w:tmpl w:val="85AC7B72"/>
    <w:lvl w:ilvl="0" w:tplc="5756F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6CA8"/>
    <w:multiLevelType w:val="hybridMultilevel"/>
    <w:tmpl w:val="8CA28A6C"/>
    <w:lvl w:ilvl="0" w:tplc="BFCCA5F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27"/>
    <w:rsid w:val="000212A2"/>
    <w:rsid w:val="00055547"/>
    <w:rsid w:val="00127FD4"/>
    <w:rsid w:val="00140474"/>
    <w:rsid w:val="00142A2D"/>
    <w:rsid w:val="0015038E"/>
    <w:rsid w:val="00255401"/>
    <w:rsid w:val="002D11FB"/>
    <w:rsid w:val="00371218"/>
    <w:rsid w:val="003762AF"/>
    <w:rsid w:val="003803F5"/>
    <w:rsid w:val="00392439"/>
    <w:rsid w:val="00456FCE"/>
    <w:rsid w:val="005B5D2F"/>
    <w:rsid w:val="005B677F"/>
    <w:rsid w:val="00601732"/>
    <w:rsid w:val="006A1826"/>
    <w:rsid w:val="006B3917"/>
    <w:rsid w:val="0075614D"/>
    <w:rsid w:val="00762F5C"/>
    <w:rsid w:val="007A49AF"/>
    <w:rsid w:val="0082781E"/>
    <w:rsid w:val="00864CA0"/>
    <w:rsid w:val="009349DC"/>
    <w:rsid w:val="0094767A"/>
    <w:rsid w:val="009C0F24"/>
    <w:rsid w:val="00A13AA8"/>
    <w:rsid w:val="00A1701C"/>
    <w:rsid w:val="00A26912"/>
    <w:rsid w:val="00B85D28"/>
    <w:rsid w:val="00C22FCA"/>
    <w:rsid w:val="00C2733E"/>
    <w:rsid w:val="00C3673D"/>
    <w:rsid w:val="00D02052"/>
    <w:rsid w:val="00D10AF0"/>
    <w:rsid w:val="00DC0A0F"/>
    <w:rsid w:val="00EA26CD"/>
    <w:rsid w:val="00F41EB3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FF50"/>
  <w15:chartTrackingRefBased/>
  <w15:docId w15:val="{CA198B22-975B-47B4-91D7-82DBD3A9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rcpa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en.casey@open.ac.uk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Blackburn</dc:creator>
  <cp:keywords/>
  <dc:description/>
  <cp:lastModifiedBy>Simon Blackburn</cp:lastModifiedBy>
  <cp:revision>34</cp:revision>
  <dcterms:created xsi:type="dcterms:W3CDTF">2021-09-17T14:12:00Z</dcterms:created>
  <dcterms:modified xsi:type="dcterms:W3CDTF">2021-09-22T13:42:00Z</dcterms:modified>
</cp:coreProperties>
</file>